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3" w:rsidRPr="00E35871" w:rsidRDefault="00A91FBF" w:rsidP="00400993">
      <w:pPr>
        <w:ind w:firstLine="284"/>
        <w:jc w:val="both"/>
        <w:rPr>
          <w:rStyle w:val="a5"/>
          <w:rFonts w:eastAsia="Calibri"/>
          <w:i w:val="0"/>
        </w:rPr>
      </w:pPr>
      <w:r w:rsidRPr="00E35871">
        <w:rPr>
          <w:rStyle w:val="a5"/>
          <w:rFonts w:eastAsia="Calibri"/>
          <w:b/>
          <w:i w:val="0"/>
        </w:rPr>
        <w:t>10</w:t>
      </w:r>
      <w:r w:rsidR="00400993" w:rsidRPr="00E35871">
        <w:rPr>
          <w:rStyle w:val="a5"/>
          <w:rFonts w:eastAsia="Calibri"/>
          <w:b/>
          <w:i w:val="0"/>
        </w:rPr>
        <w:t>.</w:t>
      </w:r>
      <w:r w:rsidR="00400993" w:rsidRPr="00E35871">
        <w:rPr>
          <w:rStyle w:val="a5"/>
          <w:rFonts w:eastAsia="Calibri"/>
          <w:i w:val="0"/>
        </w:rPr>
        <w:t xml:space="preserve"> </w:t>
      </w:r>
      <w:r w:rsidR="00827D16" w:rsidRPr="00E35871">
        <w:rPr>
          <w:rStyle w:val="a5"/>
          <w:rFonts w:eastAsia="Calibri"/>
          <w:b/>
          <w:i w:val="0"/>
        </w:rPr>
        <w:t>Система оплаты нотариальных действий</w:t>
      </w:r>
    </w:p>
    <w:p w:rsidR="00827D16" w:rsidRPr="00E35871" w:rsidRDefault="00A91FBF" w:rsidP="00827D16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>10</w:t>
      </w:r>
      <w:r w:rsidR="00827D16" w:rsidRPr="00E35871">
        <w:rPr>
          <w:rFonts w:ascii="Times New Roman" w:hAnsi="Times New Roman" w:cs="Times New Roman"/>
          <w:sz w:val="24"/>
          <w:szCs w:val="24"/>
        </w:rPr>
        <w:t xml:space="preserve">.1. </w:t>
      </w:r>
      <w:r w:rsidR="00827D16" w:rsidRPr="00E35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Установленный на законодательном уровне способ закрепления фиксированных размеров нотариальных тарифов </w:t>
      </w:r>
      <w:r w:rsidR="00827D16" w:rsidRPr="00E35871">
        <w:rPr>
          <w:rFonts w:ascii="Times New Roman" w:hAnsi="Times New Roman" w:cs="Times New Roman"/>
          <w:bCs/>
          <w:sz w:val="24"/>
          <w:szCs w:val="24"/>
        </w:rPr>
        <w:t xml:space="preserve">производился его разработчиками конъюнктурно, без учета правовой природы и сущности нотариального тарифа, игнорируя принципы организации и экономические аспекты осуществления нотариальной деятельности. Он </w:t>
      </w:r>
      <w:r w:rsidR="00827D16" w:rsidRPr="00E35871">
        <w:rPr>
          <w:rFonts w:ascii="Times New Roman" w:hAnsi="Times New Roman" w:cs="Times New Roman"/>
          <w:sz w:val="24"/>
          <w:szCs w:val="24"/>
          <w:shd w:val="clear" w:color="auto" w:fill="FFFFFF"/>
        </w:rPr>
        <w:t>не учитывает уровень инфляции и другие особенности экономики, не предложена возможность их индексации, дифференциации</w:t>
      </w:r>
      <w:r w:rsidR="00CE0E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7D16" w:rsidRPr="00E35871" w:rsidRDefault="00827D16" w:rsidP="00827D16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 xml:space="preserve">Внедренные экономически необоснованные тарифы, не соответствуют ни степени общественной значимости нотариальной деятельности, ни степени ответственности нотариусов, ни уровню сложности труда нотариуса, ни реальной стоимости объектов и сделок. </w:t>
      </w:r>
    </w:p>
    <w:p w:rsidR="00827D16" w:rsidRPr="00E35871" w:rsidRDefault="00A91FBF" w:rsidP="00827D16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871">
        <w:rPr>
          <w:rFonts w:ascii="Times New Roman" w:hAnsi="Times New Roman" w:cs="Times New Roman"/>
          <w:sz w:val="24"/>
          <w:szCs w:val="24"/>
        </w:rPr>
        <w:t>10</w:t>
      </w:r>
      <w:r w:rsidR="00827D16" w:rsidRPr="00E35871">
        <w:rPr>
          <w:rFonts w:ascii="Times New Roman" w:hAnsi="Times New Roman" w:cs="Times New Roman"/>
          <w:sz w:val="24"/>
          <w:szCs w:val="24"/>
        </w:rPr>
        <w:t>.2. Внедрение норм, предусматривающих р</w:t>
      </w:r>
      <w:r w:rsidR="00827D16" w:rsidRPr="00E35871">
        <w:rPr>
          <w:rFonts w:ascii="Times New Roman" w:hAnsi="Times New Roman" w:cs="Times New Roman"/>
          <w:sz w:val="24"/>
          <w:szCs w:val="24"/>
          <w:shd w:val="clear" w:color="auto" w:fill="FFFFFF"/>
        </w:rPr>
        <w:t>яд неэффективных льгот для отдельных категорий граждан, обесценили нотариальное удостоверение, возложили на нотариуса обязанность выполнять социальные обязательства государства за счет нотариусов без какой-либо компенсации, при этом бюджет не получает значительную часть налоговых поступлений.</w:t>
      </w:r>
    </w:p>
    <w:p w:rsidR="00A91FBF" w:rsidRPr="00E35871" w:rsidRDefault="00A91FBF" w:rsidP="00A91FBF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>В этой связи, представляется необходимым принять меры:</w:t>
      </w:r>
    </w:p>
    <w:p w:rsidR="001773BF" w:rsidRPr="00E35871" w:rsidRDefault="001773BF" w:rsidP="001773BF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>- по отмене (пересмотру) льгот в отношении пенсионеров по возрасту и лиц самостоятельно подготовивших проекты документов, как не эффективных и финансируемых за счет средств нотариусов, в нарушении Конституции РК</w:t>
      </w:r>
      <w:r w:rsidR="00CE0EA2">
        <w:rPr>
          <w:rFonts w:ascii="Times New Roman" w:hAnsi="Times New Roman" w:cs="Times New Roman"/>
          <w:sz w:val="24"/>
          <w:szCs w:val="24"/>
        </w:rPr>
        <w:t>.</w:t>
      </w:r>
      <w:r w:rsidRPr="00E35871">
        <w:rPr>
          <w:rFonts w:ascii="Times New Roman" w:hAnsi="Times New Roman" w:cs="Times New Roman"/>
          <w:sz w:val="24"/>
          <w:szCs w:val="24"/>
        </w:rPr>
        <w:t xml:space="preserve"> Ни какие другие представители публичной юридической деятельности, несущие полную имущественную ответственность за совершаемые действия, не освобождают указанные категории граждан от оплаты, фактически на всю стоимость; </w:t>
      </w:r>
    </w:p>
    <w:p w:rsidR="001773BF" w:rsidRPr="00E35871" w:rsidRDefault="001773BF" w:rsidP="001773BF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iCs/>
          <w:sz w:val="24"/>
          <w:szCs w:val="24"/>
          <w:lang w:val="kk-KZ"/>
        </w:rPr>
        <w:t>- по установлению для нотариусов более справедливого и объективного режима налогообложения и обоснованных вычетов;</w:t>
      </w:r>
    </w:p>
    <w:p w:rsidR="00A91FBF" w:rsidRPr="00E35871" w:rsidRDefault="00A91FBF" w:rsidP="00A91FBF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>- по совершенствованию системы оплаты труда нотариуса, разработке и утверждению новых, сбалансированных, экономически обоснованных, размеров тарифов за нотариальные действия и услуг</w:t>
      </w:r>
      <w:r w:rsidR="001773BF" w:rsidRPr="00E35871">
        <w:rPr>
          <w:rFonts w:ascii="Times New Roman" w:hAnsi="Times New Roman" w:cs="Times New Roman"/>
          <w:sz w:val="24"/>
          <w:szCs w:val="24"/>
        </w:rPr>
        <w:t>и</w:t>
      </w:r>
      <w:r w:rsidRPr="00E35871">
        <w:rPr>
          <w:rFonts w:ascii="Times New Roman" w:hAnsi="Times New Roman" w:cs="Times New Roman"/>
          <w:sz w:val="24"/>
          <w:szCs w:val="24"/>
        </w:rPr>
        <w:t xml:space="preserve"> правового и технического характера; </w:t>
      </w:r>
    </w:p>
    <w:p w:rsidR="001773BF" w:rsidRPr="00E35871" w:rsidRDefault="00A91FBF" w:rsidP="00A91FBF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>- по законодательному расширению полномочий нотариусов</w:t>
      </w:r>
      <w:r w:rsidR="001773BF" w:rsidRPr="00E35871">
        <w:rPr>
          <w:rFonts w:ascii="Times New Roman" w:hAnsi="Times New Roman" w:cs="Times New Roman"/>
          <w:sz w:val="24"/>
          <w:szCs w:val="24"/>
        </w:rPr>
        <w:t>;</w:t>
      </w:r>
    </w:p>
    <w:p w:rsidR="001773BF" w:rsidRPr="00E35871" w:rsidRDefault="001773BF" w:rsidP="00A91FBF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>-</w:t>
      </w:r>
      <w:r w:rsidR="00A91FBF" w:rsidRPr="00E35871">
        <w:rPr>
          <w:rFonts w:ascii="Times New Roman" w:hAnsi="Times New Roman" w:cs="Times New Roman"/>
          <w:sz w:val="24"/>
          <w:szCs w:val="24"/>
        </w:rPr>
        <w:t xml:space="preserve"> </w:t>
      </w:r>
      <w:r w:rsidRPr="00E35871">
        <w:rPr>
          <w:rFonts w:ascii="Times New Roman" w:hAnsi="Times New Roman" w:cs="Times New Roman"/>
          <w:sz w:val="24"/>
          <w:szCs w:val="24"/>
        </w:rPr>
        <w:t xml:space="preserve">по </w:t>
      </w:r>
      <w:r w:rsidR="00A91FBF" w:rsidRPr="00E35871">
        <w:rPr>
          <w:rFonts w:ascii="Times New Roman" w:hAnsi="Times New Roman" w:cs="Times New Roman"/>
          <w:sz w:val="24"/>
          <w:szCs w:val="24"/>
        </w:rPr>
        <w:t>обеспечени</w:t>
      </w:r>
      <w:r w:rsidRPr="00E35871">
        <w:rPr>
          <w:rFonts w:ascii="Times New Roman" w:hAnsi="Times New Roman" w:cs="Times New Roman"/>
          <w:sz w:val="24"/>
          <w:szCs w:val="24"/>
        </w:rPr>
        <w:t>ю</w:t>
      </w:r>
      <w:r w:rsidR="00A91FBF" w:rsidRPr="00E35871">
        <w:rPr>
          <w:rFonts w:ascii="Times New Roman" w:hAnsi="Times New Roman" w:cs="Times New Roman"/>
          <w:sz w:val="24"/>
          <w:szCs w:val="24"/>
        </w:rPr>
        <w:t xml:space="preserve"> </w:t>
      </w:r>
      <w:r w:rsidRPr="00E35871">
        <w:rPr>
          <w:rFonts w:ascii="Times New Roman" w:hAnsi="Times New Roman" w:cs="Times New Roman"/>
          <w:sz w:val="24"/>
          <w:szCs w:val="24"/>
        </w:rPr>
        <w:t>монетизации (</w:t>
      </w:r>
      <w:r w:rsidR="00A91FBF" w:rsidRPr="00E35871">
        <w:rPr>
          <w:rFonts w:ascii="Times New Roman" w:hAnsi="Times New Roman" w:cs="Times New Roman"/>
          <w:sz w:val="24"/>
          <w:szCs w:val="24"/>
        </w:rPr>
        <w:t>платности</w:t>
      </w:r>
      <w:r w:rsidRPr="00E35871">
        <w:rPr>
          <w:rFonts w:ascii="Times New Roman" w:hAnsi="Times New Roman" w:cs="Times New Roman"/>
          <w:sz w:val="24"/>
          <w:szCs w:val="24"/>
        </w:rPr>
        <w:t>)</w:t>
      </w:r>
      <w:r w:rsidR="00A91FBF" w:rsidRPr="00E35871">
        <w:rPr>
          <w:rFonts w:ascii="Times New Roman" w:hAnsi="Times New Roman" w:cs="Times New Roman"/>
          <w:sz w:val="24"/>
          <w:szCs w:val="24"/>
        </w:rPr>
        <w:t xml:space="preserve"> публичных информационных функций</w:t>
      </w:r>
      <w:r w:rsidRPr="00E35871">
        <w:rPr>
          <w:rFonts w:ascii="Times New Roman" w:hAnsi="Times New Roman" w:cs="Times New Roman"/>
          <w:sz w:val="24"/>
          <w:szCs w:val="24"/>
        </w:rPr>
        <w:t xml:space="preserve"> (услуг) нотариуса с отнесением их</w:t>
      </w:r>
      <w:r w:rsidR="00A91FBF" w:rsidRPr="00E35871">
        <w:rPr>
          <w:rFonts w:ascii="Times New Roman" w:hAnsi="Times New Roman" w:cs="Times New Roman"/>
          <w:sz w:val="24"/>
          <w:szCs w:val="24"/>
        </w:rPr>
        <w:t xml:space="preserve"> </w:t>
      </w:r>
      <w:r w:rsidRPr="00E35871">
        <w:rPr>
          <w:rFonts w:ascii="Times New Roman" w:hAnsi="Times New Roman" w:cs="Times New Roman"/>
          <w:sz w:val="24"/>
          <w:szCs w:val="24"/>
        </w:rPr>
        <w:t>к</w:t>
      </w:r>
      <w:r w:rsidR="00A91FBF" w:rsidRPr="00E35871">
        <w:rPr>
          <w:rFonts w:ascii="Times New Roman" w:hAnsi="Times New Roman" w:cs="Times New Roman"/>
          <w:sz w:val="24"/>
          <w:szCs w:val="24"/>
        </w:rPr>
        <w:t xml:space="preserve"> </w:t>
      </w:r>
      <w:r w:rsidRPr="00E35871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A91FBF" w:rsidRPr="00E35871">
        <w:rPr>
          <w:rFonts w:ascii="Times New Roman" w:hAnsi="Times New Roman" w:cs="Times New Roman"/>
          <w:sz w:val="24"/>
          <w:szCs w:val="24"/>
        </w:rPr>
        <w:t>услуг правового и технического характера, выполняемых нотариусами в интересах третьих лиц и государства, в том числе касательно</w:t>
      </w:r>
      <w:r w:rsidRPr="00E35871">
        <w:rPr>
          <w:rFonts w:ascii="Times New Roman" w:hAnsi="Times New Roman" w:cs="Times New Roman"/>
          <w:sz w:val="24"/>
          <w:szCs w:val="24"/>
        </w:rPr>
        <w:t>:</w:t>
      </w:r>
    </w:p>
    <w:p w:rsidR="001773BF" w:rsidRPr="00E35871" w:rsidRDefault="001773BF" w:rsidP="00A91FBF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>-</w:t>
      </w:r>
      <w:r w:rsidR="00A91FBF" w:rsidRPr="00E35871">
        <w:rPr>
          <w:rFonts w:ascii="Times New Roman" w:hAnsi="Times New Roman" w:cs="Times New Roman"/>
          <w:sz w:val="24"/>
          <w:szCs w:val="24"/>
        </w:rPr>
        <w:t xml:space="preserve"> </w:t>
      </w:r>
      <w:r w:rsidRPr="00E35871">
        <w:rPr>
          <w:rFonts w:ascii="Times New Roman" w:hAnsi="Times New Roman" w:cs="Times New Roman"/>
          <w:sz w:val="24"/>
          <w:szCs w:val="24"/>
        </w:rPr>
        <w:t>выгрузки заинтересованным лицам сведений о недвижимости и юридических лицах</w:t>
      </w:r>
      <w:r w:rsidR="00CE0EA2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E35871">
        <w:rPr>
          <w:rFonts w:ascii="Times New Roman" w:hAnsi="Times New Roman" w:cs="Times New Roman"/>
          <w:sz w:val="24"/>
          <w:szCs w:val="24"/>
        </w:rPr>
        <w:t>;</w:t>
      </w:r>
    </w:p>
    <w:p w:rsidR="001773BF" w:rsidRPr="00E35871" w:rsidRDefault="001773BF" w:rsidP="00A91FBF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>- подачи документов на государственную регистрацию прав на недвижимость;</w:t>
      </w:r>
    </w:p>
    <w:p w:rsidR="009C4ED6" w:rsidRPr="00E35871" w:rsidRDefault="001773BF" w:rsidP="009C4ED6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>- внесения актуальных и достоверных (соответствующих правоустанавливающим и идентификационным документам) сведений в технические характеристики объектов недвижимости и земельных участков (корректировка);</w:t>
      </w:r>
    </w:p>
    <w:p w:rsidR="00E35871" w:rsidRPr="00E35871" w:rsidRDefault="001773BF" w:rsidP="00E35871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 xml:space="preserve">- </w:t>
      </w:r>
      <w:r w:rsidR="00A91FBF" w:rsidRPr="00E35871">
        <w:rPr>
          <w:rFonts w:ascii="Times New Roman" w:hAnsi="Times New Roman" w:cs="Times New Roman"/>
          <w:sz w:val="24"/>
          <w:szCs w:val="24"/>
        </w:rPr>
        <w:t>запросов и иных сопроводительных документов, выполняемых и направляемых нотариусами, в рамках нотариального производства</w:t>
      </w:r>
      <w:r w:rsidR="009C4ED6" w:rsidRPr="00E35871">
        <w:rPr>
          <w:rFonts w:ascii="Times New Roman" w:hAnsi="Times New Roman" w:cs="Times New Roman"/>
          <w:sz w:val="24"/>
          <w:szCs w:val="24"/>
        </w:rPr>
        <w:t xml:space="preserve">, </w:t>
      </w:r>
      <w:r w:rsidR="009C4ED6" w:rsidRPr="00E35871">
        <w:rPr>
          <w:rFonts w:ascii="Times New Roman" w:hAnsi="Times New Roman" w:cs="Times New Roman"/>
          <w:i/>
          <w:sz w:val="24"/>
          <w:szCs w:val="24"/>
        </w:rPr>
        <w:t xml:space="preserve">путем распространения и применения норм, указанных в п. 2 ст. 31 Закона «О нотариате» на правоотношения в части исполнения </w:t>
      </w:r>
      <w:proofErr w:type="spellStart"/>
      <w:r w:rsidR="00CE0EA2">
        <w:rPr>
          <w:rFonts w:ascii="Times New Roman" w:hAnsi="Times New Roman" w:cs="Times New Roman"/>
          <w:i/>
          <w:sz w:val="24"/>
          <w:szCs w:val="24"/>
        </w:rPr>
        <w:t>вышеукза</w:t>
      </w:r>
      <w:r w:rsidR="009C4ED6" w:rsidRPr="00E35871">
        <w:rPr>
          <w:rFonts w:ascii="Times New Roman" w:hAnsi="Times New Roman" w:cs="Times New Roman"/>
          <w:i/>
          <w:sz w:val="24"/>
          <w:szCs w:val="24"/>
        </w:rPr>
        <w:t>нных</w:t>
      </w:r>
      <w:proofErr w:type="spellEnd"/>
      <w:r w:rsidR="009C4ED6" w:rsidRPr="00E35871">
        <w:rPr>
          <w:rFonts w:ascii="Times New Roman" w:hAnsi="Times New Roman" w:cs="Times New Roman"/>
          <w:i/>
          <w:sz w:val="24"/>
          <w:szCs w:val="24"/>
        </w:rPr>
        <w:t xml:space="preserve"> публичных функций нотариуса.</w:t>
      </w:r>
    </w:p>
    <w:p w:rsidR="00E35871" w:rsidRPr="00E35871" w:rsidRDefault="00E35871" w:rsidP="00E35871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10.3. </w:t>
      </w:r>
      <w:r w:rsidRPr="00E35871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</w:rPr>
        <w:t>Согласно п. 1 статьи 607 Налогового кодекса РК,</w:t>
      </w:r>
      <w:r w:rsidRPr="00E3587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r w:rsidRPr="00E358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государственной пошлиной является платеж в бюджет, взимаемый за совершение юридически значимых действий, в том числе связанных с выдачей документов (их копий, дубликатов) </w:t>
      </w:r>
      <w:r w:rsidRPr="00E3587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уполномоченными государственными органами или должностными лицами</w:t>
      </w:r>
      <w:r w:rsidRPr="00E35871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E35871" w:rsidRPr="00E35871" w:rsidRDefault="00E35871" w:rsidP="00E35871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E35871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</w:rPr>
        <w:t>В соответствии с п. 1 статьи 608 НК РК, п</w:t>
      </w:r>
      <w:r w:rsidRPr="00E358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лательщиками государственной пошлины являются лица, обращающиеся по поводу совершения юридически значимых действий </w:t>
      </w:r>
      <w:r w:rsidRPr="00CE0EA2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в уполномоченные государственные органы</w:t>
      </w:r>
      <w:r w:rsidRPr="00E358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3587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или к должностным лицам.</w:t>
      </w:r>
    </w:p>
    <w:p w:rsidR="00E35871" w:rsidRPr="00E35871" w:rsidRDefault="00E35871" w:rsidP="00E35871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E3587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Пунктом </w:t>
      </w:r>
      <w:r w:rsidRPr="00E358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19 ст. 1 НК РК, частный нотариус определен как лицо, занимающееся частной практикой и</w:t>
      </w:r>
      <w:r w:rsidRPr="00E35871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 xml:space="preserve"> не является должностным лицом, </w:t>
      </w:r>
      <w:r w:rsidRPr="00E358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 соответствии с</w:t>
      </w:r>
      <w:r w:rsidRPr="00E35871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E3587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п.</w:t>
      </w:r>
      <w:r w:rsidRPr="00E35871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E358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8 ст. 1 Закона РК «О государственной службе», согласно которому должностн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ым</w:t>
      </w:r>
      <w:r w:rsidRPr="00E358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лицо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 признается</w:t>
      </w:r>
      <w:r w:rsidRPr="00E3587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органах.</w:t>
      </w:r>
    </w:p>
    <w:p w:rsidR="00E35871" w:rsidRPr="00E35871" w:rsidRDefault="00E35871" w:rsidP="00E35871">
      <w:pPr>
        <w:shd w:val="clear" w:color="auto" w:fill="FFFFFF"/>
        <w:spacing w:line="285" w:lineRule="atLeast"/>
        <w:ind w:firstLine="284"/>
        <w:jc w:val="both"/>
        <w:textAlignment w:val="baseline"/>
        <w:rPr>
          <w:spacing w:val="2"/>
          <w:shd w:val="clear" w:color="auto" w:fill="FFFFFF"/>
        </w:rPr>
      </w:pPr>
      <w:r w:rsidRPr="00E35871">
        <w:rPr>
          <w:spacing w:val="2"/>
          <w:shd w:val="clear" w:color="auto" w:fill="FFFFFF"/>
        </w:rPr>
        <w:lastRenderedPageBreak/>
        <w:t xml:space="preserve">Из 22-х категорий объектов взимания государственной пошлины, перечисленных в п. 1 ст. 609 НК РК, 21 категория, напрямую связана с совершением юридически значимых действий, осуществляемых </w:t>
      </w:r>
      <w:r w:rsidRPr="00E35871">
        <w:rPr>
          <w:i/>
          <w:spacing w:val="2"/>
          <w:shd w:val="clear" w:color="auto" w:fill="FFFFFF"/>
        </w:rPr>
        <w:t>государственными органами и должностными лицами</w:t>
      </w:r>
      <w:r w:rsidRPr="00E35871">
        <w:rPr>
          <w:spacing w:val="2"/>
          <w:shd w:val="clear" w:color="auto" w:fill="FFFFFF"/>
        </w:rPr>
        <w:t>, освобождение или льготное обеспечение которых осуществляется из государственного бюджета.</w:t>
      </w:r>
    </w:p>
    <w:p w:rsidR="00E35871" w:rsidRPr="00E35871" w:rsidRDefault="00E35871" w:rsidP="00E35871">
      <w:pPr>
        <w:shd w:val="clear" w:color="auto" w:fill="FFFFFF"/>
        <w:spacing w:line="285" w:lineRule="atLeast"/>
        <w:ind w:firstLine="284"/>
        <w:jc w:val="both"/>
        <w:textAlignment w:val="baseline"/>
        <w:rPr>
          <w:i/>
          <w:spacing w:val="2"/>
          <w:shd w:val="clear" w:color="auto" w:fill="FFFFFF"/>
        </w:rPr>
      </w:pPr>
      <w:r w:rsidRPr="00E35871">
        <w:rPr>
          <w:i/>
          <w:spacing w:val="2"/>
          <w:shd w:val="clear" w:color="auto" w:fill="FFFFFF"/>
        </w:rPr>
        <w:t>И только одна категория из указанной статьи – нотариусы (пп.2 п. 1 ст. 609 НК РК), несущие бремя содержания и обеспечения профессиональной деятельности самостоятельно, полностью освобождают или совершают нотариальные действия на льготных основаниях, за свой счет.</w:t>
      </w:r>
    </w:p>
    <w:p w:rsidR="00E35871" w:rsidRPr="00E35871" w:rsidRDefault="00E35871" w:rsidP="00E35871">
      <w:pPr>
        <w:ind w:firstLine="284"/>
        <w:jc w:val="both"/>
      </w:pPr>
      <w:r w:rsidRPr="00E35871">
        <w:t>Кроме того, 06.05.2020 года, принят Закон РК «О ветеранах», взамен прежнего Закона РК «О льготах и социальной защите участников, инвалидов ВОВ и лиц, приравненных к ним», согласно статье 15 которого,</w:t>
      </w:r>
      <w:r w:rsidRPr="00E35871">
        <w:rPr>
          <w:spacing w:val="2"/>
          <w:shd w:val="clear" w:color="auto" w:fill="FFFFFF"/>
        </w:rPr>
        <w:t xml:space="preserve"> </w:t>
      </w:r>
      <w:r w:rsidRPr="00E35871">
        <w:rPr>
          <w:i/>
          <w:spacing w:val="2"/>
          <w:shd w:val="clear" w:color="auto" w:fill="FFFFFF"/>
        </w:rPr>
        <w:t>финансирование мер социальной поддержки указанных категорий осуществляется за счет средств государственного бюджета</w:t>
      </w:r>
      <w:r w:rsidRPr="00E35871">
        <w:rPr>
          <w:spacing w:val="2"/>
          <w:shd w:val="clear" w:color="auto" w:fill="FFFFFF"/>
        </w:rPr>
        <w:t xml:space="preserve"> и иных источников, не запрещенных законодательством Республики Казахстан.</w:t>
      </w:r>
      <w:r w:rsidRPr="00E35871">
        <w:t xml:space="preserve"> </w:t>
      </w:r>
    </w:p>
    <w:p w:rsidR="00E35871" w:rsidRPr="00E35871" w:rsidRDefault="00E35871" w:rsidP="00E35871">
      <w:pPr>
        <w:ind w:firstLine="284"/>
        <w:jc w:val="both"/>
      </w:pPr>
      <w:r w:rsidRPr="00E35871">
        <w:t xml:space="preserve">В этой связи, представляется обоснованным рассмотреть </w:t>
      </w:r>
      <w:r>
        <w:t>возможность</w:t>
      </w:r>
      <w:r w:rsidRPr="00E35871">
        <w:t xml:space="preserve"> исключения </w:t>
      </w:r>
      <w:proofErr w:type="spellStart"/>
      <w:r w:rsidRPr="00E35871">
        <w:t>пп</w:t>
      </w:r>
      <w:proofErr w:type="spellEnd"/>
      <w:r w:rsidRPr="00E35871">
        <w:t>. 2 п. 1 ст. 609, и соответственно статьи 611 и 617 из Налогового кодекса РК</w:t>
      </w:r>
      <w:r>
        <w:t xml:space="preserve"> с анализом возможных последствий</w:t>
      </w:r>
      <w:bookmarkStart w:id="0" w:name="_GoBack"/>
      <w:bookmarkEnd w:id="0"/>
      <w:r w:rsidRPr="00E35871">
        <w:t>.</w:t>
      </w:r>
    </w:p>
    <w:p w:rsidR="00A91FBF" w:rsidRPr="00E35871" w:rsidRDefault="00A91FBF" w:rsidP="00A91FBF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FBF" w:rsidRPr="00E35871" w:rsidRDefault="00A91FBF" w:rsidP="00A91FBF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FBF" w:rsidRPr="00E35871" w:rsidRDefault="00A91FBF" w:rsidP="00827D16">
      <w:pPr>
        <w:pStyle w:val="21"/>
        <w:widowControl w:val="0"/>
        <w:pBdr>
          <w:bottom w:val="single" w:sz="4" w:space="31" w:color="FFFFFF"/>
        </w:pBd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5644" w:rsidRPr="00E35871" w:rsidRDefault="00C25644" w:rsidP="00400993"/>
    <w:sectPr w:rsidR="00C25644" w:rsidRPr="00E35871" w:rsidSect="00C25644"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B"/>
    <w:rsid w:val="00017F1D"/>
    <w:rsid w:val="00144E44"/>
    <w:rsid w:val="001773BF"/>
    <w:rsid w:val="001945EB"/>
    <w:rsid w:val="001C0B77"/>
    <w:rsid w:val="00212289"/>
    <w:rsid w:val="00232C62"/>
    <w:rsid w:val="003C7BC6"/>
    <w:rsid w:val="00400993"/>
    <w:rsid w:val="004012A1"/>
    <w:rsid w:val="00516B72"/>
    <w:rsid w:val="00565537"/>
    <w:rsid w:val="005B1593"/>
    <w:rsid w:val="005F7909"/>
    <w:rsid w:val="006D13F4"/>
    <w:rsid w:val="00706EDB"/>
    <w:rsid w:val="00724517"/>
    <w:rsid w:val="0073154C"/>
    <w:rsid w:val="0079724B"/>
    <w:rsid w:val="007A0701"/>
    <w:rsid w:val="007D3BBB"/>
    <w:rsid w:val="00800C76"/>
    <w:rsid w:val="00805CB1"/>
    <w:rsid w:val="008076CB"/>
    <w:rsid w:val="00827D16"/>
    <w:rsid w:val="008A5953"/>
    <w:rsid w:val="0096070B"/>
    <w:rsid w:val="009B0FD8"/>
    <w:rsid w:val="009C4ED6"/>
    <w:rsid w:val="00A57DB2"/>
    <w:rsid w:val="00A91FBF"/>
    <w:rsid w:val="00A96486"/>
    <w:rsid w:val="00C25644"/>
    <w:rsid w:val="00C4193B"/>
    <w:rsid w:val="00C663AD"/>
    <w:rsid w:val="00CA0777"/>
    <w:rsid w:val="00CB21E0"/>
    <w:rsid w:val="00CE0EA2"/>
    <w:rsid w:val="00D36175"/>
    <w:rsid w:val="00E35871"/>
    <w:rsid w:val="00EC03C2"/>
    <w:rsid w:val="00F21D43"/>
    <w:rsid w:val="00F25255"/>
    <w:rsid w:val="00F96AAE"/>
    <w:rsid w:val="00F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6C4E8-D611-4147-AE40-90C4A63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76CB"/>
    <w:pPr>
      <w:keepNext/>
      <w:keepLines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,З"/>
    <w:basedOn w:val="a"/>
    <w:link w:val="a4"/>
    <w:uiPriority w:val="99"/>
    <w:unhideWhenUsed/>
    <w:qFormat/>
    <w:rsid w:val="003C7BC6"/>
    <w:pPr>
      <w:autoSpaceDE/>
      <w:autoSpaceDN/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1945EB"/>
  </w:style>
  <w:style w:type="character" w:customStyle="1" w:styleId="w">
    <w:name w:val="w"/>
    <w:rsid w:val="007D3BBB"/>
  </w:style>
  <w:style w:type="character" w:styleId="a5">
    <w:name w:val="Emphasis"/>
    <w:basedOn w:val="a0"/>
    <w:uiPriority w:val="20"/>
    <w:qFormat/>
    <w:rsid w:val="005F7909"/>
    <w:rPr>
      <w:i/>
      <w:iCs/>
    </w:rPr>
  </w:style>
  <w:style w:type="character" w:customStyle="1" w:styleId="a4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3"/>
    <w:uiPriority w:val="99"/>
    <w:locked/>
    <w:rsid w:val="00FA1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uiPriority w:val="99"/>
    <w:rsid w:val="00FA1BFD"/>
    <w:pPr>
      <w:autoSpaceDE/>
      <w:autoSpaceDN/>
      <w:spacing w:before="100" w:beforeAutospacing="1" w:after="100" w:afterAutospacing="1"/>
    </w:pPr>
    <w:rPr>
      <w:color w:val="auto"/>
    </w:rPr>
  </w:style>
  <w:style w:type="paragraph" w:styleId="a6">
    <w:name w:val="Body Text Indent"/>
    <w:basedOn w:val="a"/>
    <w:next w:val="a"/>
    <w:link w:val="a7"/>
    <w:uiPriority w:val="99"/>
    <w:semiHidden/>
    <w:rsid w:val="00724517"/>
    <w:pPr>
      <w:adjustRightInd w:val="0"/>
    </w:pPr>
    <w:rPr>
      <w:rFonts w:eastAsia="Calibri"/>
      <w:color w:val="auto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451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No Spacing"/>
    <w:basedOn w:val="a"/>
    <w:uiPriority w:val="1"/>
    <w:qFormat/>
    <w:rsid w:val="00400993"/>
    <w:pPr>
      <w:autoSpaceDE/>
      <w:autoSpaceDN/>
      <w:spacing w:before="100" w:beforeAutospacing="1" w:after="100" w:afterAutospacing="1"/>
    </w:pPr>
    <w:rPr>
      <w:color w:val="auto"/>
    </w:rPr>
  </w:style>
  <w:style w:type="paragraph" w:customStyle="1" w:styleId="21">
    <w:name w:val="Абзац списка2"/>
    <w:basedOn w:val="a"/>
    <w:rsid w:val="00827D16"/>
    <w:pPr>
      <w:autoSpaceDE/>
      <w:autoSpaceDN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6</cp:revision>
  <dcterms:created xsi:type="dcterms:W3CDTF">2022-03-21T20:22:00Z</dcterms:created>
  <dcterms:modified xsi:type="dcterms:W3CDTF">2022-03-22T21:17:00Z</dcterms:modified>
</cp:coreProperties>
</file>