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9C275" w14:textId="77777777" w:rsidR="008A481B" w:rsidRPr="00937033" w:rsidRDefault="008A481B" w:rsidP="008A481B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937033">
        <w:rPr>
          <w:rFonts w:ascii="Times New Roman" w:hAnsi="Times New Roman" w:cs="Times New Roman"/>
          <w:sz w:val="28"/>
          <w:szCs w:val="28"/>
        </w:rPr>
        <w:t>Утвержден</w:t>
      </w:r>
    </w:p>
    <w:p w14:paraId="5FC5A2F2" w14:textId="77777777" w:rsidR="008A481B" w:rsidRPr="00937033" w:rsidRDefault="008A481B" w:rsidP="008A481B">
      <w:pPr>
        <w:spacing w:after="0" w:line="240" w:lineRule="auto"/>
        <w:ind w:left="581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7033">
        <w:rPr>
          <w:rFonts w:ascii="Times New Roman" w:hAnsi="Times New Roman" w:cs="Times New Roman"/>
          <w:sz w:val="28"/>
          <w:szCs w:val="28"/>
        </w:rPr>
        <w:t>совместным приказом</w:t>
      </w:r>
    </w:p>
    <w:p w14:paraId="3C0910B5" w14:textId="77777777" w:rsidR="008A481B" w:rsidRPr="00937033" w:rsidRDefault="008A481B" w:rsidP="008A481B">
      <w:pPr>
        <w:spacing w:after="0" w:line="240" w:lineRule="auto"/>
        <w:ind w:left="581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7033">
        <w:rPr>
          <w:rFonts w:ascii="Times New Roman" w:hAnsi="Times New Roman" w:cs="Times New Roman"/>
          <w:sz w:val="28"/>
          <w:szCs w:val="28"/>
        </w:rPr>
        <w:t>Министра юстиции</w:t>
      </w:r>
    </w:p>
    <w:p w14:paraId="42D2C4B9" w14:textId="77777777" w:rsidR="008A481B" w:rsidRPr="00937033" w:rsidRDefault="008A481B" w:rsidP="008A481B">
      <w:pPr>
        <w:spacing w:after="0" w:line="240" w:lineRule="auto"/>
        <w:ind w:left="581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70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033">
        <w:rPr>
          <w:rFonts w:ascii="Times New Roman" w:hAnsi="Times New Roman" w:cs="Times New Roman"/>
          <w:sz w:val="28"/>
          <w:szCs w:val="28"/>
        </w:rPr>
        <w:t>Республики Казахстан</w:t>
      </w:r>
    </w:p>
    <w:p w14:paraId="2AD1C64C" w14:textId="77777777" w:rsidR="008A481B" w:rsidRPr="00937033" w:rsidRDefault="008A481B" w:rsidP="008A481B">
      <w:pPr>
        <w:spacing w:after="0" w:line="240" w:lineRule="auto"/>
        <w:ind w:left="581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7033">
        <w:rPr>
          <w:rFonts w:ascii="Times New Roman" w:hAnsi="Times New Roman" w:cs="Times New Roman"/>
          <w:sz w:val="28"/>
          <w:szCs w:val="28"/>
        </w:rPr>
        <w:t>от ___ __________ 2023 года</w:t>
      </w:r>
    </w:p>
    <w:p w14:paraId="4CB12A53" w14:textId="77777777" w:rsidR="008A481B" w:rsidRPr="00937033" w:rsidRDefault="008A481B" w:rsidP="008A481B">
      <w:pPr>
        <w:spacing w:after="0" w:line="240" w:lineRule="auto"/>
        <w:ind w:left="581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7033">
        <w:rPr>
          <w:rFonts w:ascii="Times New Roman" w:hAnsi="Times New Roman" w:cs="Times New Roman"/>
          <w:sz w:val="28"/>
          <w:szCs w:val="28"/>
        </w:rPr>
        <w:t>№ _____</w:t>
      </w:r>
    </w:p>
    <w:p w14:paraId="43B18E64" w14:textId="77777777" w:rsidR="008A481B" w:rsidRPr="00937033" w:rsidRDefault="008A481B" w:rsidP="008A481B">
      <w:pPr>
        <w:spacing w:after="0" w:line="240" w:lineRule="auto"/>
        <w:ind w:left="6532" w:firstLine="668"/>
        <w:contextualSpacing/>
        <w:rPr>
          <w:rFonts w:ascii="Times New Roman" w:hAnsi="Times New Roman" w:cs="Times New Roman"/>
          <w:sz w:val="28"/>
          <w:szCs w:val="28"/>
        </w:rPr>
      </w:pPr>
    </w:p>
    <w:p w14:paraId="0DB05CCF" w14:textId="77777777" w:rsidR="008A481B" w:rsidRPr="00937033" w:rsidRDefault="008A481B" w:rsidP="008A481B">
      <w:pPr>
        <w:spacing w:after="0" w:line="240" w:lineRule="auto"/>
        <w:ind w:left="6532" w:firstLine="668"/>
        <w:contextualSpacing/>
        <w:rPr>
          <w:rFonts w:ascii="Times New Roman" w:hAnsi="Times New Roman" w:cs="Times New Roman"/>
          <w:sz w:val="28"/>
          <w:szCs w:val="28"/>
        </w:rPr>
      </w:pPr>
    </w:p>
    <w:p w14:paraId="396AAF52" w14:textId="77777777" w:rsidR="008A481B" w:rsidRPr="00937033" w:rsidRDefault="008A481B" w:rsidP="008A481B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937033">
        <w:rPr>
          <w:rFonts w:ascii="Times New Roman" w:hAnsi="Times New Roman" w:cs="Times New Roman"/>
          <w:sz w:val="28"/>
          <w:szCs w:val="28"/>
        </w:rPr>
        <w:t>Утвержден</w:t>
      </w:r>
    </w:p>
    <w:p w14:paraId="4CD49EF3" w14:textId="77777777" w:rsidR="008A481B" w:rsidRPr="00937033" w:rsidRDefault="008A481B" w:rsidP="008A481B">
      <w:pPr>
        <w:spacing w:after="0" w:line="240" w:lineRule="auto"/>
        <w:ind w:left="581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033">
        <w:rPr>
          <w:rFonts w:ascii="Times New Roman" w:hAnsi="Times New Roman" w:cs="Times New Roman"/>
          <w:sz w:val="28"/>
          <w:szCs w:val="28"/>
        </w:rPr>
        <w:t>совместным приказом</w:t>
      </w:r>
    </w:p>
    <w:p w14:paraId="13E2B908" w14:textId="77777777" w:rsidR="008A481B" w:rsidRPr="00937033" w:rsidRDefault="008A481B" w:rsidP="008A481B">
      <w:pPr>
        <w:spacing w:after="0" w:line="240" w:lineRule="auto"/>
        <w:ind w:left="581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7033">
        <w:rPr>
          <w:rFonts w:ascii="Times New Roman" w:hAnsi="Times New Roman" w:cs="Times New Roman"/>
          <w:sz w:val="28"/>
          <w:szCs w:val="28"/>
        </w:rPr>
        <w:t>Министра цифрового развития, инноваций и аэрокосмической промышленности</w:t>
      </w:r>
    </w:p>
    <w:p w14:paraId="7BE118D5" w14:textId="77777777" w:rsidR="008A481B" w:rsidRPr="00937033" w:rsidRDefault="008A481B" w:rsidP="008A481B">
      <w:pPr>
        <w:spacing w:after="0" w:line="240" w:lineRule="auto"/>
        <w:ind w:left="581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7033">
        <w:rPr>
          <w:rFonts w:ascii="Times New Roman" w:hAnsi="Times New Roman" w:cs="Times New Roman"/>
          <w:sz w:val="28"/>
          <w:szCs w:val="28"/>
        </w:rPr>
        <w:t>от ___ __________ 2023 года</w:t>
      </w:r>
    </w:p>
    <w:p w14:paraId="058294AD" w14:textId="77777777" w:rsidR="008A481B" w:rsidRPr="00937033" w:rsidRDefault="008A481B" w:rsidP="008A481B">
      <w:pPr>
        <w:spacing w:after="0" w:line="240" w:lineRule="auto"/>
        <w:ind w:left="581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7033">
        <w:rPr>
          <w:rFonts w:ascii="Times New Roman" w:hAnsi="Times New Roman" w:cs="Times New Roman"/>
          <w:sz w:val="28"/>
          <w:szCs w:val="28"/>
        </w:rPr>
        <w:t>№ _____</w:t>
      </w:r>
    </w:p>
    <w:p w14:paraId="7262D4D6" w14:textId="77777777" w:rsidR="00875AB5" w:rsidRPr="00937033" w:rsidRDefault="00875AB5" w:rsidP="00DE3F2D">
      <w:pPr>
        <w:overflowPunct w:val="0"/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14:paraId="548C114C" w14:textId="77777777" w:rsidR="00875AB5" w:rsidRPr="00937033" w:rsidRDefault="00875AB5" w:rsidP="00DE3F2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14:paraId="01777E0E" w14:textId="77777777" w:rsidR="00DE3F2D" w:rsidRPr="00937033" w:rsidRDefault="00DE3F2D" w:rsidP="00DE3F2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7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Алгоритм </w:t>
      </w:r>
    </w:p>
    <w:p w14:paraId="602B9B67" w14:textId="77777777" w:rsidR="00DE3F2D" w:rsidRPr="00937033" w:rsidRDefault="00DE3F2D" w:rsidP="00DE3F2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7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оформления цифровых нотариально удостоверенных доверенностей</w:t>
      </w:r>
    </w:p>
    <w:p w14:paraId="03F5A0BB" w14:textId="77777777" w:rsidR="00DE3F2D" w:rsidRPr="00937033" w:rsidRDefault="00DE3F2D" w:rsidP="00DE3F2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123CA81" w14:textId="77777777" w:rsidR="00DE3F2D" w:rsidRPr="00937033" w:rsidRDefault="00DE3F2D" w:rsidP="00DE3F2D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03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Настоящий Алгоритм оформления цифровых нотариально удостоверенных доверенностей (далее – цифровые нотариальные доверенности) регламентирует порядок подачи гражданами Республики Казахстан соответствующей заявки и оформление цифровых нотариальных доверенностей нотариусами.</w:t>
      </w:r>
    </w:p>
    <w:p w14:paraId="551C5C8D" w14:textId="77777777" w:rsidR="00DE3F2D" w:rsidRPr="00937033" w:rsidRDefault="00DE3F2D" w:rsidP="00DE3F2D">
      <w:pPr>
        <w:pStyle w:val="a3"/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03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Описание бизнес-процесса оформления цифровых нотариальных доверенностей:</w:t>
      </w:r>
    </w:p>
    <w:p w14:paraId="3C177513" w14:textId="77777777" w:rsidR="00DE3F2D" w:rsidRPr="00937033" w:rsidRDefault="00DE3F2D" w:rsidP="00DE3F2D">
      <w:pPr>
        <w:pStyle w:val="a3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03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гражданин Республики Казахстан проходит авторизацию в ИС «Мобильное правительство», либо в информационной системе «</w:t>
      </w:r>
      <w:r w:rsidRPr="009370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Единая нотариальная информационная система</w:t>
      </w:r>
      <w:r w:rsidRPr="0093703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» (далее – ИС «Е-нотариат»), либо в ином объекте информатизации;</w:t>
      </w:r>
    </w:p>
    <w:p w14:paraId="6AF335C3" w14:textId="77777777" w:rsidR="00DE3F2D" w:rsidRPr="00937033" w:rsidRDefault="00DE3F2D" w:rsidP="00DE3F2D">
      <w:pPr>
        <w:pStyle w:val="a3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03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соответствующем разделе ИС «Мобильное правительство» либо в ИС «Е-нотариат», либо в ином объекте информатизации необходимо выбрать функцию «Цифровые нотариальные доверенности»;</w:t>
      </w:r>
    </w:p>
    <w:p w14:paraId="0F626E35" w14:textId="186DC924" w:rsidR="00DE3F2D" w:rsidRPr="00937033" w:rsidRDefault="00DE3F2D" w:rsidP="00DE3F2D">
      <w:pPr>
        <w:pStyle w:val="a3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03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услугополучателем заполняется заявка, на оформление цифровой нотариальной доверенности и дается согласие на сбор и обработку персональных данных посредством подписания электронной-цифровой подписью;</w:t>
      </w:r>
    </w:p>
    <w:p w14:paraId="4E2A9E2D" w14:textId="2DA1685C" w:rsidR="00DE3F2D" w:rsidRPr="00937033" w:rsidRDefault="004106C8" w:rsidP="00DE3F2D">
      <w:pPr>
        <w:pStyle w:val="a3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03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ИС «Е-нотариат»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bookmarkStart w:id="0" w:name="_GoBack"/>
      <w:bookmarkEnd w:id="0"/>
      <w:r w:rsidR="00DE3F2D" w:rsidRPr="0093703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обеспечивает получение согласия на сбор и обработку персональных данных доверенного лица посредством государственного сервиса контроля доступа к персональным данным; </w:t>
      </w:r>
    </w:p>
    <w:p w14:paraId="540303A8" w14:textId="050722B5" w:rsidR="00DE3F2D" w:rsidRPr="00937033" w:rsidRDefault="00DE3F2D" w:rsidP="00DE3F2D">
      <w:pPr>
        <w:pStyle w:val="a3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03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после успешной подачи заявки, </w:t>
      </w:r>
      <w:proofErr w:type="spellStart"/>
      <w:r w:rsidRPr="0093703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услугополучателю</w:t>
      </w:r>
      <w:proofErr w:type="spellEnd"/>
      <w:r w:rsidRPr="0093703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доступна функция звонка с нотариусом;</w:t>
      </w:r>
    </w:p>
    <w:p w14:paraId="12B01FAC" w14:textId="7DCB2AD4" w:rsidR="00DE3F2D" w:rsidRPr="00937033" w:rsidRDefault="00DE3F2D" w:rsidP="00DE3F2D">
      <w:pPr>
        <w:pStyle w:val="a3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03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 ходе звонка между нотариусом и услугополучателем проверяется дееспособность последнего, разъясняются его права и обязанности, предупреждается о последствиях совершаемого нотариального действия, чтобы юридическая неосведомленность не была использована услугоп</w:t>
      </w:r>
      <w:r w:rsidR="008A481B" w:rsidRPr="0093703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93703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лучателю во вред, также уточняются детали, необходимые для оформления цифровой нотариальной доверенности;</w:t>
      </w:r>
    </w:p>
    <w:p w14:paraId="09BBC295" w14:textId="77777777" w:rsidR="00DE3F2D" w:rsidRPr="00937033" w:rsidRDefault="00DE3F2D" w:rsidP="00DE3F2D">
      <w:pPr>
        <w:pStyle w:val="a3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03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после подготовки проекта цифровой нотариальной доверенности нотариус направляет его на согласование услугополучателю.</w:t>
      </w:r>
    </w:p>
    <w:p w14:paraId="03249158" w14:textId="5140C3E3" w:rsidR="00DE3F2D" w:rsidRPr="00937033" w:rsidRDefault="000905F3" w:rsidP="00DE3F2D">
      <w:pPr>
        <w:pStyle w:val="a3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03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при</w:t>
      </w:r>
      <w:r w:rsidR="00DE3F2D" w:rsidRPr="0093703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одобрени</w:t>
      </w:r>
      <w:r w:rsidRPr="0093703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DE3F2D" w:rsidRPr="0093703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проекта цифровой нотариальной доверенности услугополучатель подтверждает путем нажатия виртуальной кнопки «Одобрить черновик»</w:t>
      </w:r>
      <w:r w:rsidRPr="0093703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или</w:t>
      </w:r>
      <w:r w:rsidR="00DE3F2D" w:rsidRPr="0093703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направляет на доработку. После исправления нотариусом замечаний услугополучателя проект цифровой нотариальной доверенности направляет повторно на согласование.</w:t>
      </w:r>
    </w:p>
    <w:p w14:paraId="2CE88DD3" w14:textId="77777777" w:rsidR="00DE3F2D" w:rsidRPr="00937033" w:rsidRDefault="00DE3F2D" w:rsidP="00DE3F2D">
      <w:pPr>
        <w:pStyle w:val="a3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03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оплата за цифровую нотариальную доверенность осуществляется посредством выставления счета на оплату услугополучателю посредством мобильного приложения банка второго уровня.</w:t>
      </w:r>
    </w:p>
    <w:p w14:paraId="70959B9D" w14:textId="77777777" w:rsidR="00DE3F2D" w:rsidRPr="00937033" w:rsidRDefault="00DE3F2D" w:rsidP="00DE3F2D">
      <w:pPr>
        <w:pStyle w:val="a3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03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после совершения оплаты нотариусом посредством ЭЦП подписывается цифровая нотариальная доверенность.</w:t>
      </w:r>
    </w:p>
    <w:p w14:paraId="367FBD36" w14:textId="77777777" w:rsidR="00DE3F2D" w:rsidRPr="00937033" w:rsidRDefault="00DE3F2D" w:rsidP="00DE3F2D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03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по завершению вышеуказанных действий цифровая нотариальная доверенность доступна услугополучателю в сервисе «Цифровые документы» ИС «Мобильное правительство», иного объекта информатизации либо в личном кабинете ИС «Е-нотариат».</w:t>
      </w:r>
    </w:p>
    <w:p w14:paraId="5E935850" w14:textId="77777777" w:rsidR="00BE413D" w:rsidRPr="00DE3F2D" w:rsidRDefault="00BE413D" w:rsidP="00DE3F2D">
      <w:pPr>
        <w:spacing w:after="0" w:line="240" w:lineRule="auto"/>
        <w:rPr>
          <w:rFonts w:ascii="Times New Roman" w:hAnsi="Times New Roman" w:cs="Times New Roman"/>
        </w:rPr>
      </w:pPr>
    </w:p>
    <w:sectPr w:rsidR="00BE413D" w:rsidRPr="00DE3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E2D4E"/>
    <w:multiLevelType w:val="hybridMultilevel"/>
    <w:tmpl w:val="72EC4B4E"/>
    <w:lvl w:ilvl="0" w:tplc="423C70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05C1456">
      <w:start w:val="1"/>
      <w:numFmt w:val="lowerLetter"/>
      <w:lvlText w:val="%2."/>
      <w:lvlJc w:val="left"/>
      <w:pPr>
        <w:ind w:left="1800" w:hanging="360"/>
      </w:pPr>
    </w:lvl>
    <w:lvl w:ilvl="2" w:tplc="ADA64614">
      <w:start w:val="1"/>
      <w:numFmt w:val="lowerRoman"/>
      <w:lvlText w:val="%3."/>
      <w:lvlJc w:val="right"/>
      <w:pPr>
        <w:ind w:left="2520" w:hanging="180"/>
      </w:pPr>
    </w:lvl>
    <w:lvl w:ilvl="3" w:tplc="DA184A18">
      <w:start w:val="1"/>
      <w:numFmt w:val="decimal"/>
      <w:lvlText w:val="%4."/>
      <w:lvlJc w:val="left"/>
      <w:pPr>
        <w:ind w:left="3240" w:hanging="360"/>
      </w:pPr>
    </w:lvl>
    <w:lvl w:ilvl="4" w:tplc="06880E5C">
      <w:start w:val="1"/>
      <w:numFmt w:val="lowerLetter"/>
      <w:lvlText w:val="%5."/>
      <w:lvlJc w:val="left"/>
      <w:pPr>
        <w:ind w:left="3960" w:hanging="360"/>
      </w:pPr>
    </w:lvl>
    <w:lvl w:ilvl="5" w:tplc="41F83D00">
      <w:start w:val="1"/>
      <w:numFmt w:val="lowerRoman"/>
      <w:lvlText w:val="%6."/>
      <w:lvlJc w:val="right"/>
      <w:pPr>
        <w:ind w:left="4680" w:hanging="180"/>
      </w:pPr>
    </w:lvl>
    <w:lvl w:ilvl="6" w:tplc="786AFBCE">
      <w:start w:val="1"/>
      <w:numFmt w:val="decimal"/>
      <w:lvlText w:val="%7."/>
      <w:lvlJc w:val="left"/>
      <w:pPr>
        <w:ind w:left="5400" w:hanging="360"/>
      </w:pPr>
    </w:lvl>
    <w:lvl w:ilvl="7" w:tplc="CADE413E">
      <w:start w:val="1"/>
      <w:numFmt w:val="lowerLetter"/>
      <w:lvlText w:val="%8."/>
      <w:lvlJc w:val="left"/>
      <w:pPr>
        <w:ind w:left="6120" w:hanging="360"/>
      </w:pPr>
    </w:lvl>
    <w:lvl w:ilvl="8" w:tplc="48BE3082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B332F3"/>
    <w:multiLevelType w:val="hybridMultilevel"/>
    <w:tmpl w:val="935CA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840C4"/>
    <w:multiLevelType w:val="hybridMultilevel"/>
    <w:tmpl w:val="A9AC9CD4"/>
    <w:lvl w:ilvl="0" w:tplc="E13077B2">
      <w:start w:val="1"/>
      <w:numFmt w:val="decimal"/>
      <w:lvlText w:val="%1."/>
      <w:lvlJc w:val="left"/>
      <w:pPr>
        <w:ind w:left="720" w:hanging="360"/>
      </w:pPr>
    </w:lvl>
    <w:lvl w:ilvl="1" w:tplc="6DDACC2E">
      <w:start w:val="1"/>
      <w:numFmt w:val="lowerLetter"/>
      <w:lvlText w:val="%2."/>
      <w:lvlJc w:val="left"/>
      <w:pPr>
        <w:ind w:left="1440" w:hanging="360"/>
      </w:pPr>
    </w:lvl>
    <w:lvl w:ilvl="2" w:tplc="7778AFEE">
      <w:start w:val="1"/>
      <w:numFmt w:val="lowerRoman"/>
      <w:lvlText w:val="%3."/>
      <w:lvlJc w:val="right"/>
      <w:pPr>
        <w:ind w:left="2160" w:hanging="180"/>
      </w:pPr>
    </w:lvl>
    <w:lvl w:ilvl="3" w:tplc="AE1A9EAA">
      <w:start w:val="1"/>
      <w:numFmt w:val="decimal"/>
      <w:lvlText w:val="%4."/>
      <w:lvlJc w:val="left"/>
      <w:pPr>
        <w:ind w:left="2880" w:hanging="360"/>
      </w:pPr>
    </w:lvl>
    <w:lvl w:ilvl="4" w:tplc="4F06EE20">
      <w:start w:val="1"/>
      <w:numFmt w:val="lowerLetter"/>
      <w:lvlText w:val="%5."/>
      <w:lvlJc w:val="left"/>
      <w:pPr>
        <w:ind w:left="3600" w:hanging="360"/>
      </w:pPr>
    </w:lvl>
    <w:lvl w:ilvl="5" w:tplc="DC507EB8">
      <w:start w:val="1"/>
      <w:numFmt w:val="lowerRoman"/>
      <w:lvlText w:val="%6."/>
      <w:lvlJc w:val="right"/>
      <w:pPr>
        <w:ind w:left="4320" w:hanging="180"/>
      </w:pPr>
    </w:lvl>
    <w:lvl w:ilvl="6" w:tplc="B722079E">
      <w:start w:val="1"/>
      <w:numFmt w:val="decimal"/>
      <w:lvlText w:val="%7."/>
      <w:lvlJc w:val="left"/>
      <w:pPr>
        <w:ind w:left="5040" w:hanging="360"/>
      </w:pPr>
    </w:lvl>
    <w:lvl w:ilvl="7" w:tplc="B6F43A24">
      <w:start w:val="1"/>
      <w:numFmt w:val="lowerLetter"/>
      <w:lvlText w:val="%8."/>
      <w:lvlJc w:val="left"/>
      <w:pPr>
        <w:ind w:left="5760" w:hanging="360"/>
      </w:pPr>
    </w:lvl>
    <w:lvl w:ilvl="8" w:tplc="EB6876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CB"/>
    <w:rsid w:val="000905F3"/>
    <w:rsid w:val="004106C8"/>
    <w:rsid w:val="00875AB5"/>
    <w:rsid w:val="008A481B"/>
    <w:rsid w:val="00937033"/>
    <w:rsid w:val="00AF57CB"/>
    <w:rsid w:val="00BE413D"/>
    <w:rsid w:val="00DE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2A0C"/>
  <w15:chartTrackingRefBased/>
  <w15:docId w15:val="{C59F7F66-C568-4F21-A46E-8983A7FC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AB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nd Tier Header,Bullet List,Bullet Number,Colorful List - Accent 11,FooterText,Heading1,List Paragraph_0,N_List Paragraph,corp de texte,numbered,strich,Абзац списка1,маркированный"/>
    <w:basedOn w:val="a"/>
    <w:link w:val="a4"/>
    <w:uiPriority w:val="34"/>
    <w:qFormat/>
    <w:rsid w:val="00DE3F2D"/>
    <w:pPr>
      <w:ind w:left="720"/>
      <w:contextualSpacing/>
    </w:pPr>
  </w:style>
  <w:style w:type="character" w:customStyle="1" w:styleId="a4">
    <w:name w:val="Абзац списка Знак"/>
    <w:aliases w:val="2nd Tier Header Знак,Bullet List Знак,Bullet Number Знак,Colorful List - Accent 11 Знак,FooterText Знак,Heading1 Знак,List Paragraph_0 Знак,N_List Paragraph Знак,corp de texte Знак,numbered Знак,strich Знак,Абзац списка1 Знак"/>
    <w:link w:val="a3"/>
    <w:uiPriority w:val="34"/>
    <w:locked/>
    <w:rsid w:val="00DE3F2D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2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 Данияр</dc:creator>
  <cp:keywords/>
  <dc:description/>
  <cp:lastModifiedBy>orazova.a</cp:lastModifiedBy>
  <cp:revision>9</cp:revision>
  <dcterms:created xsi:type="dcterms:W3CDTF">2023-03-09T06:23:00Z</dcterms:created>
  <dcterms:modified xsi:type="dcterms:W3CDTF">2023-03-31T11:45:00Z</dcterms:modified>
</cp:coreProperties>
</file>